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5F63F8E2">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6ED2379C"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66A27483" w:rsidR="00033EA5" w:rsidRDefault="00D52F71" w:rsidP="00033EA5">
      <w:pPr>
        <w:jc w:val="center"/>
        <w:rPr>
          <w:color w:val="0F4761" w:themeColor="accent1" w:themeShade="BF"/>
          <w:sz w:val="40"/>
          <w:szCs w:val="40"/>
        </w:rPr>
      </w:pPr>
      <w:r>
        <w:rPr>
          <w:color w:val="0F4761" w:themeColor="accent1" w:themeShade="BF"/>
          <w:sz w:val="40"/>
          <w:szCs w:val="40"/>
        </w:rPr>
        <w:t>April</w:t>
      </w:r>
      <w:r w:rsidR="008D657B">
        <w:rPr>
          <w:color w:val="0F4761" w:themeColor="accent1" w:themeShade="BF"/>
          <w:sz w:val="40"/>
          <w:szCs w:val="40"/>
        </w:rPr>
        <w:t xml:space="preserve"> </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352B6637"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D73DD7">
        <w:t>.</w:t>
      </w:r>
      <w:r w:rsidR="00CD7F66">
        <w:t xml:space="preserve"> This post is for the Belfast region.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4F633CB0" w14:textId="1896EA33" w:rsidR="00954181" w:rsidRDefault="00954181" w:rsidP="00033EA5">
      <w:r w:rsidRPr="00954181">
        <w:rPr>
          <w:b/>
          <w:bCs/>
        </w:rPr>
        <w:t>Responsible to</w:t>
      </w:r>
      <w:r w:rsidRPr="005E3523">
        <w:t xml:space="preserve">: </w:t>
      </w:r>
      <w:r w:rsidR="00497623">
        <w:t>Youth Work Coordinator</w:t>
      </w:r>
    </w:p>
    <w:p w14:paraId="74537578" w14:textId="61C16D23" w:rsidR="00CD7F66" w:rsidRPr="008D657B" w:rsidRDefault="00CD7F66" w:rsidP="00033EA5">
      <w:pPr>
        <w:rPr>
          <w:b/>
          <w:bCs/>
        </w:rPr>
      </w:pPr>
      <w:r w:rsidRPr="00CD7F66">
        <w:rPr>
          <w:b/>
          <w:bCs/>
        </w:rPr>
        <w:t>Location:</w:t>
      </w:r>
      <w:r>
        <w:t xml:space="preserve"> Belfast</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3193A682" w14:textId="77777777" w:rsidR="00B95D2B" w:rsidRDefault="00B95D2B" w:rsidP="00033EA5">
      <w:pPr>
        <w:rPr>
          <w:b/>
          <w:bCs/>
          <w:color w:val="45B0E1" w:themeColor="accent1" w:themeTint="99"/>
        </w:rPr>
      </w:pPr>
    </w:p>
    <w:p w14:paraId="7FE0BADA" w14:textId="3BA7DB44" w:rsidR="00033EA5" w:rsidRDefault="00DF4265" w:rsidP="00033EA5">
      <w:pPr>
        <w:rPr>
          <w:b/>
          <w:bCs/>
          <w:color w:val="45B0E1" w:themeColor="accent1" w:themeTint="99"/>
        </w:rPr>
      </w:pPr>
      <w:r w:rsidRPr="00DF4265">
        <w:rPr>
          <w:b/>
          <w:bCs/>
          <w:color w:val="45B0E1" w:themeColor="accent1" w:themeTint="99"/>
        </w:rPr>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29313250" w:rsidR="002462EE" w:rsidRDefault="00CD7F66" w:rsidP="00033EA5">
      <w:r>
        <w:rPr>
          <w:b/>
          <w:bCs/>
        </w:rPr>
        <w:t>Friday 18th</w:t>
      </w:r>
      <w:r w:rsidR="008D657B">
        <w:rPr>
          <w:b/>
          <w:bCs/>
        </w:rPr>
        <w:t xml:space="preserve"> April 2025 at 2pm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87"/>
              <w:gridCol w:w="1776"/>
              <w:gridCol w:w="2708"/>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DD77" w14:textId="77777777" w:rsidR="0047647F" w:rsidRDefault="0047647F" w:rsidP="00033EA5">
      <w:pPr>
        <w:spacing w:after="0" w:line="240" w:lineRule="auto"/>
      </w:pPr>
      <w:r>
        <w:separator/>
      </w:r>
    </w:p>
  </w:endnote>
  <w:endnote w:type="continuationSeparator" w:id="0">
    <w:p w14:paraId="5B33BD51" w14:textId="77777777" w:rsidR="0047647F" w:rsidRDefault="0047647F" w:rsidP="00033EA5">
      <w:pPr>
        <w:spacing w:after="0" w:line="240" w:lineRule="auto"/>
      </w:pPr>
      <w:r>
        <w:continuationSeparator/>
      </w:r>
    </w:p>
  </w:endnote>
  <w:endnote w:type="continuationNotice" w:id="1">
    <w:p w14:paraId="7CAFF00A" w14:textId="77777777" w:rsidR="0047647F" w:rsidRDefault="00476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F154" w14:textId="77777777" w:rsidR="0047647F" w:rsidRDefault="0047647F" w:rsidP="00033EA5">
      <w:pPr>
        <w:spacing w:after="0" w:line="240" w:lineRule="auto"/>
      </w:pPr>
      <w:r>
        <w:separator/>
      </w:r>
    </w:p>
  </w:footnote>
  <w:footnote w:type="continuationSeparator" w:id="0">
    <w:p w14:paraId="601961C1" w14:textId="77777777" w:rsidR="0047647F" w:rsidRDefault="0047647F" w:rsidP="00033EA5">
      <w:pPr>
        <w:spacing w:after="0" w:line="240" w:lineRule="auto"/>
      </w:pPr>
      <w:r>
        <w:continuationSeparator/>
      </w:r>
    </w:p>
  </w:footnote>
  <w:footnote w:type="continuationNotice" w:id="1">
    <w:p w14:paraId="3EFA7BB9" w14:textId="77777777" w:rsidR="0047647F" w:rsidRDefault="00476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26352"/>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580C"/>
    <w:rsid w:val="00387A03"/>
    <w:rsid w:val="003E3AB8"/>
    <w:rsid w:val="003E778A"/>
    <w:rsid w:val="003F387B"/>
    <w:rsid w:val="00415531"/>
    <w:rsid w:val="00420448"/>
    <w:rsid w:val="00441C05"/>
    <w:rsid w:val="0045237D"/>
    <w:rsid w:val="004534F3"/>
    <w:rsid w:val="00465710"/>
    <w:rsid w:val="0047647F"/>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7415"/>
    <w:rsid w:val="0072787E"/>
    <w:rsid w:val="0073421B"/>
    <w:rsid w:val="00745494"/>
    <w:rsid w:val="00766E2A"/>
    <w:rsid w:val="0077600D"/>
    <w:rsid w:val="007852E6"/>
    <w:rsid w:val="007B498A"/>
    <w:rsid w:val="00842C91"/>
    <w:rsid w:val="00846F0A"/>
    <w:rsid w:val="00861C09"/>
    <w:rsid w:val="00872F69"/>
    <w:rsid w:val="008A58D7"/>
    <w:rsid w:val="008D657B"/>
    <w:rsid w:val="008F2C7F"/>
    <w:rsid w:val="008F7FAF"/>
    <w:rsid w:val="00950064"/>
    <w:rsid w:val="00954181"/>
    <w:rsid w:val="00965897"/>
    <w:rsid w:val="0097101F"/>
    <w:rsid w:val="00974614"/>
    <w:rsid w:val="00996EA7"/>
    <w:rsid w:val="009C00B0"/>
    <w:rsid w:val="009D277E"/>
    <w:rsid w:val="009D29FA"/>
    <w:rsid w:val="009D3E7B"/>
    <w:rsid w:val="00A13BC3"/>
    <w:rsid w:val="00A14A2C"/>
    <w:rsid w:val="00A45D11"/>
    <w:rsid w:val="00A56692"/>
    <w:rsid w:val="00A57476"/>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A1026"/>
    <w:rsid w:val="00BB3F05"/>
    <w:rsid w:val="00BD233F"/>
    <w:rsid w:val="00BD4EF6"/>
    <w:rsid w:val="00BE2D1E"/>
    <w:rsid w:val="00C158E2"/>
    <w:rsid w:val="00C17D5A"/>
    <w:rsid w:val="00C247EA"/>
    <w:rsid w:val="00C26C90"/>
    <w:rsid w:val="00C309DA"/>
    <w:rsid w:val="00C35668"/>
    <w:rsid w:val="00C6218C"/>
    <w:rsid w:val="00C85D1C"/>
    <w:rsid w:val="00C9024E"/>
    <w:rsid w:val="00C955BF"/>
    <w:rsid w:val="00C968C2"/>
    <w:rsid w:val="00CB7023"/>
    <w:rsid w:val="00CC72F4"/>
    <w:rsid w:val="00CD34CE"/>
    <w:rsid w:val="00CD6260"/>
    <w:rsid w:val="00CD7F66"/>
    <w:rsid w:val="00CE5D49"/>
    <w:rsid w:val="00D0475E"/>
    <w:rsid w:val="00D2575A"/>
    <w:rsid w:val="00D258F0"/>
    <w:rsid w:val="00D51184"/>
    <w:rsid w:val="00D52F71"/>
    <w:rsid w:val="00D62DFC"/>
    <w:rsid w:val="00D7154D"/>
    <w:rsid w:val="00D73DD7"/>
    <w:rsid w:val="00D91331"/>
    <w:rsid w:val="00DD22A3"/>
    <w:rsid w:val="00DF4265"/>
    <w:rsid w:val="00E1425D"/>
    <w:rsid w:val="00E43294"/>
    <w:rsid w:val="00E85D2D"/>
    <w:rsid w:val="00E958F0"/>
    <w:rsid w:val="00F35FA6"/>
    <w:rsid w:val="00F36938"/>
    <w:rsid w:val="00F515B6"/>
    <w:rsid w:val="00F81246"/>
    <w:rsid w:val="00F95104"/>
    <w:rsid w:val="00F9656E"/>
    <w:rsid w:val="00FB0E28"/>
    <w:rsid w:val="00FB75F5"/>
    <w:rsid w:val="00FC1921"/>
    <w:rsid w:val="00FF6908"/>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Kearney</cp:lastModifiedBy>
  <cp:revision>2</cp:revision>
  <cp:lastPrinted>2024-11-11T17:33:00Z</cp:lastPrinted>
  <dcterms:created xsi:type="dcterms:W3CDTF">2025-04-10T13:47:00Z</dcterms:created>
  <dcterms:modified xsi:type="dcterms:W3CDTF">2025-04-10T13:47:00Z</dcterms:modified>
</cp:coreProperties>
</file>